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Match Rule Development Guide</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Designing, tuning, and validating probabilistic and deterministic match rules in Reltio</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Match Rule Development Guide</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04 — Match &amp; Merge</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MM-001</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Entity resolution — identifying when two records represent the same real-world object — is the core value proposition of any MDM platform. Reltio's match engine supports both deterministic (exact) and probabilistic (fuzzy) matching with configurable rule sets. This guide covers match rule design principles, rule set configuration, threshold calibration, and validation methodology. Well-tuned match rules are the difference between a trusted golden record and an unusable MDM system.</w:t>
      </w:r>
    </w:p>
    <w:p/>
    <w:p>
      <w:pPr>
        <w:pStyle w:val="Heading1"/>
      </w:pPr>
      <w:r>
        <w:t>Table of Contents</w:t>
      </w:r>
    </w:p>
    <w:p>
      <w:pPr>
        <w:spacing w:after="60"/>
      </w:pPr>
      <w:r>
        <w:rPr>
          <w:color w:val="0C548A"/>
          <w:sz w:val="22"/>
        </w:rPr>
        <w:t>1.0  Match Engine Overview</w:t>
      </w:r>
    </w:p>
    <w:p>
      <w:pPr>
        <w:spacing w:after="60"/>
      </w:pPr>
      <w:r>
        <w:rPr>
          <w:color w:val="0C548A"/>
          <w:sz w:val="22"/>
        </w:rPr>
        <w:t>2.0  Deterministic Rules</w:t>
      </w:r>
    </w:p>
    <w:p>
      <w:pPr>
        <w:spacing w:after="60"/>
      </w:pPr>
      <w:r>
        <w:rPr>
          <w:color w:val="0C548A"/>
          <w:sz w:val="22"/>
        </w:rPr>
        <w:t>3.0  Probabilistic Rules</w:t>
      </w:r>
    </w:p>
    <w:p>
      <w:pPr>
        <w:spacing w:after="60"/>
      </w:pPr>
      <w:r>
        <w:rPr>
          <w:color w:val="0C548A"/>
          <w:sz w:val="22"/>
        </w:rPr>
        <w:t>4.0  Rule Set Configuration</w:t>
      </w:r>
    </w:p>
    <w:p>
      <w:pPr>
        <w:spacing w:after="60"/>
      </w:pPr>
      <w:r>
        <w:rPr>
          <w:color w:val="0C548A"/>
          <w:sz w:val="22"/>
        </w:rPr>
        <w:t>5.0  Threshold Calibration</w:t>
      </w:r>
    </w:p>
    <w:p>
      <w:pPr>
        <w:spacing w:after="60"/>
      </w:pPr>
      <w:r>
        <w:rPr>
          <w:color w:val="0C548A"/>
          <w:sz w:val="22"/>
        </w:rPr>
        <w:t>6.0  Match Quality Validation</w:t>
      </w:r>
    </w:p>
    <w:p>
      <w:r>
        <w:br w:type="page"/>
      </w:r>
    </w:p>
    <w:p>
      <w:pPr>
        <w:pStyle w:val="Heading1"/>
      </w:pPr>
      <w:r>
        <w:t>1. Match Engine Overview</w:t>
      </w:r>
    </w:p>
    <w:p>
      <w:pPr>
        <w:pStyle w:val="Heading2"/>
      </w:pPr>
      <w:r>
        <w:t>1.1 How Reltio Match Works</w:t>
      </w:r>
    </w:p>
    <w:p>
      <w:r>
        <w:t>When a new or updated entity is processed, Reltio's match engine evaluates it against existing entities using configured match rules. Each rule compares attribute values and produces a confidence score. If the score exceeds the merge threshold, entities are automatically merged. Scores between the review and merge thresholds create potential duplicate tasks for steward review.</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Zone</w:t>
            </w:r>
          </w:p>
        </w:tc>
        <w:tc>
          <w:tcPr>
            <w:tcW w:type="dxa" w:w="2340"/>
            <w:shd w:fill="0C548A" w:val="clear"/>
          </w:tcPr>
          <w:p>
            <w:r>
              <w:rPr>
                <w:b/>
                <w:color w:val="FFFFFF"/>
                <w:sz w:val="20"/>
              </w:rPr>
              <w:t>Score Range</w:t>
            </w:r>
          </w:p>
        </w:tc>
        <w:tc>
          <w:tcPr>
            <w:tcW w:type="dxa" w:w="2340"/>
            <w:shd w:fill="0C548A" w:val="clear"/>
          </w:tcPr>
          <w:p>
            <w:r>
              <w:rPr>
                <w:b/>
                <w:color w:val="FFFFFF"/>
                <w:sz w:val="20"/>
              </w:rPr>
              <w:t>Action</w:t>
            </w:r>
          </w:p>
        </w:tc>
        <w:tc>
          <w:tcPr>
            <w:tcW w:type="dxa" w:w="2340"/>
            <w:shd w:fill="0C548A" w:val="clear"/>
          </w:tcPr>
          <w:p>
            <w:r>
              <w:rPr>
                <w:b/>
                <w:color w:val="FFFFFF"/>
                <w:sz w:val="20"/>
              </w:rPr>
              <w:t>Configured By</w:t>
            </w:r>
          </w:p>
        </w:tc>
      </w:tr>
      <w:tr>
        <w:tc>
          <w:tcPr>
            <w:tcW w:type="dxa" w:w="2340"/>
          </w:tcPr>
          <w:p>
            <w:r>
              <w:rPr>
                <w:sz w:val="20"/>
              </w:rPr>
              <w:t>Auto-Merge</w:t>
            </w:r>
          </w:p>
        </w:tc>
        <w:tc>
          <w:tcPr>
            <w:tcW w:type="dxa" w:w="2340"/>
          </w:tcPr>
          <w:p>
            <w:r>
              <w:rPr>
                <w:sz w:val="20"/>
              </w:rPr>
              <w:t>&gt; merge threshold (e.g., 0.95)</w:t>
            </w:r>
          </w:p>
        </w:tc>
        <w:tc>
          <w:tcPr>
            <w:tcW w:type="dxa" w:w="2340"/>
          </w:tcPr>
          <w:p>
            <w:r>
              <w:rPr>
                <w:sz w:val="20"/>
              </w:rPr>
              <w:t>Automatic merge, steward notified</w:t>
            </w:r>
          </w:p>
        </w:tc>
        <w:tc>
          <w:tcPr>
            <w:tcW w:type="dxa" w:w="2340"/>
          </w:tcPr>
          <w:p>
            <w:r>
              <w:rPr>
                <w:sz w:val="20"/>
              </w:rPr>
              <w:t>MDM Architect</w:t>
            </w:r>
          </w:p>
        </w:tc>
      </w:tr>
      <w:tr>
        <w:tc>
          <w:tcPr>
            <w:tcW w:type="dxa" w:w="2340"/>
            <w:shd w:fill="F4F6FA" w:val="clear"/>
          </w:tcPr>
          <w:p>
            <w:r>
              <w:rPr>
                <w:sz w:val="20"/>
              </w:rPr>
              <w:t>Review</w:t>
            </w:r>
          </w:p>
        </w:tc>
        <w:tc>
          <w:tcPr>
            <w:tcW w:type="dxa" w:w="2340"/>
            <w:shd w:fill="F4F6FA" w:val="clear"/>
          </w:tcPr>
          <w:p>
            <w:r>
              <w:rPr>
                <w:sz w:val="20"/>
              </w:rPr>
              <w:t>Between review and merge threshold</w:t>
            </w:r>
          </w:p>
        </w:tc>
        <w:tc>
          <w:tcPr>
            <w:tcW w:type="dxa" w:w="2340"/>
            <w:shd w:fill="F4F6FA" w:val="clear"/>
          </w:tcPr>
          <w:p>
            <w:r>
              <w:rPr>
                <w:sz w:val="20"/>
              </w:rPr>
              <w:t>Potential duplicate task created</w:t>
            </w:r>
          </w:p>
        </w:tc>
        <w:tc>
          <w:tcPr>
            <w:tcW w:type="dxa" w:w="2340"/>
            <w:shd w:fill="F4F6FA" w:val="clear"/>
          </w:tcPr>
          <w:p>
            <w:r>
              <w:rPr>
                <w:sz w:val="20"/>
              </w:rPr>
              <w:t>MDM Architect</w:t>
            </w:r>
          </w:p>
        </w:tc>
      </w:tr>
      <w:tr>
        <w:tc>
          <w:tcPr>
            <w:tcW w:type="dxa" w:w="2340"/>
          </w:tcPr>
          <w:p>
            <w:r>
              <w:rPr>
                <w:sz w:val="20"/>
              </w:rPr>
              <w:t>No Match</w:t>
            </w:r>
          </w:p>
        </w:tc>
        <w:tc>
          <w:tcPr>
            <w:tcW w:type="dxa" w:w="2340"/>
          </w:tcPr>
          <w:p>
            <w:r>
              <w:rPr>
                <w:sz w:val="20"/>
              </w:rPr>
              <w:t>&lt; review threshold (e.g., 0.60)</w:t>
            </w:r>
          </w:p>
        </w:tc>
        <w:tc>
          <w:tcPr>
            <w:tcW w:type="dxa" w:w="2340"/>
          </w:tcPr>
          <w:p>
            <w:r>
              <w:rPr>
                <w:sz w:val="20"/>
              </w:rPr>
              <w:t>No action — entities are distinct</w:t>
            </w:r>
          </w:p>
        </w:tc>
        <w:tc>
          <w:tcPr>
            <w:tcW w:type="dxa" w:w="2340"/>
          </w:tcPr>
          <w:p>
            <w:r>
              <w:rPr>
                <w:sz w:val="20"/>
              </w:rPr>
              <w:t>MDM Architect</w:t>
            </w:r>
          </w:p>
        </w:tc>
      </w:tr>
    </w:tbl>
    <w:p/>
    <w:p>
      <w:pPr>
        <w:pStyle w:val="Heading2"/>
      </w:pPr>
      <w:r>
        <w:t>1.2 Matching Strategies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Strategy</w:t>
            </w:r>
          </w:p>
        </w:tc>
        <w:tc>
          <w:tcPr>
            <w:tcW w:type="dxa" w:w="3120"/>
            <w:shd w:fill="0C548A" w:val="clear"/>
          </w:tcPr>
          <w:p>
            <w:r>
              <w:rPr>
                <w:b/>
                <w:color w:val="FFFFFF"/>
                <w:sz w:val="20"/>
              </w:rPr>
              <w:t>Description</w:t>
            </w:r>
          </w:p>
        </w:tc>
        <w:tc>
          <w:tcPr>
            <w:tcW w:type="dxa" w:w="3120"/>
            <w:shd w:fill="0C548A" w:val="clear"/>
          </w:tcPr>
          <w:p>
            <w:r>
              <w:rPr>
                <w:b/>
                <w:color w:val="FFFFFF"/>
                <w:sz w:val="20"/>
              </w:rPr>
              <w:t>Best For</w:t>
            </w:r>
          </w:p>
        </w:tc>
      </w:tr>
      <w:tr>
        <w:tc>
          <w:tcPr>
            <w:tcW w:type="dxa" w:w="3120"/>
          </w:tcPr>
          <w:p>
            <w:r>
              <w:rPr>
                <w:sz w:val="20"/>
              </w:rPr>
              <w:t>Deterministic</w:t>
            </w:r>
          </w:p>
        </w:tc>
        <w:tc>
          <w:tcPr>
            <w:tcW w:type="dxa" w:w="3120"/>
          </w:tcPr>
          <w:p>
            <w:r>
              <w:rPr>
                <w:sz w:val="20"/>
              </w:rPr>
              <w:t>Exact or normalized match on unique identifiers</w:t>
            </w:r>
          </w:p>
        </w:tc>
        <w:tc>
          <w:tcPr>
            <w:tcW w:type="dxa" w:w="3120"/>
          </w:tcPr>
          <w:p>
            <w:r>
              <w:rPr>
                <w:sz w:val="20"/>
              </w:rPr>
              <w:t>Tax ID, DUNS, GTIN — high-confidence ID matching</w:t>
            </w:r>
          </w:p>
        </w:tc>
      </w:tr>
      <w:tr>
        <w:tc>
          <w:tcPr>
            <w:tcW w:type="dxa" w:w="3120"/>
            <w:shd w:fill="F4F6FA" w:val="clear"/>
          </w:tcPr>
          <w:p>
            <w:r>
              <w:rPr>
                <w:sz w:val="20"/>
              </w:rPr>
              <w:t>Probabilistic</w:t>
            </w:r>
          </w:p>
        </w:tc>
        <w:tc>
          <w:tcPr>
            <w:tcW w:type="dxa" w:w="3120"/>
            <w:shd w:fill="F4F6FA" w:val="clear"/>
          </w:tcPr>
          <w:p>
            <w:r>
              <w:rPr>
                <w:sz w:val="20"/>
              </w:rPr>
              <w:t>Weighted fuzzy matching across multiple attributes</w:t>
            </w:r>
          </w:p>
        </w:tc>
        <w:tc>
          <w:tcPr>
            <w:tcW w:type="dxa" w:w="3120"/>
            <w:shd w:fill="F4F6FA" w:val="clear"/>
          </w:tcPr>
          <w:p>
            <w:r>
              <w:rPr>
                <w:sz w:val="20"/>
              </w:rPr>
              <w:t>Name + address + phone — partial match scenarios</w:t>
            </w:r>
          </w:p>
        </w:tc>
      </w:tr>
      <w:tr>
        <w:tc>
          <w:tcPr>
            <w:tcW w:type="dxa" w:w="3120"/>
          </w:tcPr>
          <w:p>
            <w:r>
              <w:rPr>
                <w:sz w:val="20"/>
              </w:rPr>
              <w:t>Hybrid</w:t>
            </w:r>
          </w:p>
        </w:tc>
        <w:tc>
          <w:tcPr>
            <w:tcW w:type="dxa" w:w="3120"/>
          </w:tcPr>
          <w:p>
            <w:r>
              <w:rPr>
                <w:sz w:val="20"/>
              </w:rPr>
              <w:t>Deterministic first, then probabilistic fallback</w:t>
            </w:r>
          </w:p>
        </w:tc>
        <w:tc>
          <w:tcPr>
            <w:tcW w:type="dxa" w:w="3120"/>
          </w:tcPr>
          <w:p>
            <w:r>
              <w:rPr>
                <w:sz w:val="20"/>
              </w:rPr>
              <w:t>B2B MDM where some records have DUNS, others don't</w:t>
            </w:r>
          </w:p>
        </w:tc>
      </w:tr>
      <w:tr>
        <w:tc>
          <w:tcPr>
            <w:tcW w:type="dxa" w:w="3120"/>
            <w:shd w:fill="F4F6FA" w:val="clear"/>
          </w:tcPr>
          <w:p>
            <w:r>
              <w:rPr>
                <w:sz w:val="20"/>
              </w:rPr>
              <w:t>ML-Powered</w:t>
            </w:r>
          </w:p>
        </w:tc>
        <w:tc>
          <w:tcPr>
            <w:tcW w:type="dxa" w:w="3120"/>
            <w:shd w:fill="F4F6FA" w:val="clear"/>
          </w:tcPr>
          <w:p>
            <w:r>
              <w:rPr>
                <w:sz w:val="20"/>
              </w:rPr>
              <w:t>Trained model scores pairs based on learned patterns</w:t>
            </w:r>
          </w:p>
        </w:tc>
        <w:tc>
          <w:tcPr>
            <w:tcW w:type="dxa" w:w="3120"/>
            <w:shd w:fill="F4F6FA" w:val="clear"/>
          </w:tcPr>
          <w:p>
            <w:r>
              <w:rPr>
                <w:sz w:val="20"/>
              </w:rPr>
              <w:t>Complex matching with many attribute combinations</w:t>
            </w:r>
          </w:p>
        </w:tc>
      </w:tr>
    </w:tbl>
    <w:p/>
    <w:p>
      <w:pPr>
        <w:pStyle w:val="Heading1"/>
      </w:pPr>
      <w:r>
        <w:t>2. Deterministic Rules</w:t>
      </w:r>
    </w:p>
    <w:p>
      <w:pPr>
        <w:pStyle w:val="Heading2"/>
      </w:pPr>
      <w:r>
        <w:t>2.1 Deterministic Rule Design</w:t>
      </w:r>
    </w:p>
    <w:p>
      <w:r>
        <w:t>Deterministic rules match entities based on exact identifier values. When a deterministic rule fires (both entities have the same SSN, tax ID, or DUNS), the confidence score immediately exceeds the merge threshold.</w:t>
      </w:r>
    </w:p>
    <w:p>
      <w:pPr>
        <w:pStyle w:val="NoSpacing"/>
        <w:shd w:fill="F5F5F5" w:val="clear"/>
        <w:ind w:left="432"/>
      </w:pPr>
      <w:r>
        <w:rPr>
          <w:rFonts w:ascii="Consolas" w:hAnsi="Consolas"/>
          <w:sz w:val="18"/>
        </w:rPr>
        <w:t># Deterministic rule configuration (Reltio JSON)</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"matchRuleSet": "Individual_PrimaryRules",</w:t>
      </w:r>
    </w:p>
    <w:p>
      <w:pPr>
        <w:pStyle w:val="NoSpacing"/>
        <w:shd w:fill="F5F5F5" w:val="clear"/>
        <w:ind w:left="432"/>
      </w:pPr>
      <w:r>
        <w:rPr>
          <w:rFonts w:ascii="Consolas" w:hAnsi="Consolas"/>
          <w:sz w:val="18"/>
        </w:rPr>
        <w:t xml:space="preserve">  "rules":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"name": "SSN_Exact_Match",</w:t>
      </w:r>
    </w:p>
    <w:p>
      <w:pPr>
        <w:pStyle w:val="NoSpacing"/>
        <w:shd w:fill="F5F5F5" w:val="clear"/>
        <w:ind w:left="432"/>
      </w:pPr>
      <w:r>
        <w:rPr>
          <w:rFonts w:ascii="Consolas" w:hAnsi="Consolas"/>
          <w:sz w:val="18"/>
        </w:rPr>
        <w:t xml:space="preserve">      "type": "DETERMINISTIC",</w:t>
      </w:r>
    </w:p>
    <w:p>
      <w:pPr>
        <w:pStyle w:val="NoSpacing"/>
        <w:shd w:fill="F5F5F5" w:val="clear"/>
        <w:ind w:left="432"/>
      </w:pPr>
      <w:r>
        <w:rPr>
          <w:rFonts w:ascii="Consolas" w:hAnsi="Consolas"/>
          <w:sz w:val="18"/>
        </w:rPr>
        <w:t xml:space="preserve">      "conditions":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 "taxId",</w:t>
      </w:r>
    </w:p>
    <w:p>
      <w:pPr>
        <w:pStyle w:val="NoSpacing"/>
        <w:shd w:fill="F5F5F5" w:val="clear"/>
        <w:ind w:left="432"/>
      </w:pPr>
      <w:r>
        <w:rPr>
          <w:rFonts w:ascii="Consolas" w:hAnsi="Consolas"/>
          <w:sz w:val="18"/>
        </w:rPr>
        <w:t xml:space="preserve">          "matchType": "EXACT",</w:t>
      </w:r>
    </w:p>
    <w:p>
      <w:pPr>
        <w:pStyle w:val="NoSpacing"/>
        <w:shd w:fill="F5F5F5" w:val="clear"/>
        <w:ind w:left="432"/>
      </w:pPr>
      <w:r>
        <w:rPr>
          <w:rFonts w:ascii="Consolas" w:hAnsi="Consolas"/>
          <w:sz w:val="18"/>
        </w:rPr>
        <w:t xml:space="preserve">          "normalize": "REMOVE_DASHES_AND_SPACES",</w:t>
      </w:r>
    </w:p>
    <w:p>
      <w:pPr>
        <w:pStyle w:val="NoSpacing"/>
        <w:shd w:fill="F5F5F5" w:val="clear"/>
        <w:ind w:left="432"/>
      </w:pPr>
      <w:r>
        <w:rPr>
          <w:rFonts w:ascii="Consolas" w:hAnsi="Consolas"/>
          <w:sz w:val="18"/>
        </w:rPr>
        <w:t xml:space="preserve">          "weight": 1.0,</w:t>
      </w:r>
    </w:p>
    <w:p>
      <w:pPr>
        <w:pStyle w:val="NoSpacing"/>
        <w:shd w:fill="F5F5F5" w:val="clear"/>
        <w:ind w:left="432"/>
      </w:pPr>
      <w:r>
        <w:rPr>
          <w:rFonts w:ascii="Consolas" w:hAnsi="Consolas"/>
          <w:sz w:val="18"/>
        </w:rPr>
        <w:t xml:space="preserve">          "score": 1.0</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"minScore": 1.0,</w:t>
      </w:r>
    </w:p>
    <w:p>
      <w:pPr>
        <w:pStyle w:val="NoSpacing"/>
        <w:shd w:fill="F5F5F5" w:val="clear"/>
        <w:ind w:left="432"/>
      </w:pPr>
      <w:r>
        <w:rPr>
          <w:rFonts w:ascii="Consolas" w:hAnsi="Consolas"/>
          <w:sz w:val="18"/>
        </w:rPr>
        <w:t xml:space="preserve">      "autoMerge": true</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"name": "Email_Exact_Match",</w:t>
      </w:r>
    </w:p>
    <w:p>
      <w:pPr>
        <w:pStyle w:val="NoSpacing"/>
        <w:shd w:fill="F5F5F5" w:val="clear"/>
        <w:ind w:left="432"/>
      </w:pPr>
      <w:r>
        <w:rPr>
          <w:rFonts w:ascii="Consolas" w:hAnsi="Consolas"/>
          <w:sz w:val="18"/>
        </w:rPr>
        <w:t xml:space="preserve">      "type": "DETERMINISTIC",</w:t>
      </w:r>
    </w:p>
    <w:p>
      <w:pPr>
        <w:pStyle w:val="NoSpacing"/>
        <w:shd w:fill="F5F5F5" w:val="clear"/>
        <w:ind w:left="432"/>
      </w:pPr>
      <w:r>
        <w:rPr>
          <w:rFonts w:ascii="Consolas" w:hAnsi="Consolas"/>
          <w:sz w:val="18"/>
        </w:rPr>
        <w:t xml:space="preserve">      "conditions":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 "emailAddresses[*].email",</w:t>
      </w:r>
    </w:p>
    <w:p>
      <w:pPr>
        <w:pStyle w:val="NoSpacing"/>
        <w:shd w:fill="F5F5F5" w:val="clear"/>
        <w:ind w:left="432"/>
      </w:pPr>
      <w:r>
        <w:rPr>
          <w:rFonts w:ascii="Consolas" w:hAnsi="Consolas"/>
          <w:sz w:val="18"/>
        </w:rPr>
        <w:t xml:space="preserve">          "matchType": "EXACT",</w:t>
      </w:r>
    </w:p>
    <w:p>
      <w:pPr>
        <w:pStyle w:val="NoSpacing"/>
        <w:shd w:fill="F5F5F5" w:val="clear"/>
        <w:ind w:left="432"/>
      </w:pPr>
      <w:r>
        <w:rPr>
          <w:rFonts w:ascii="Consolas" w:hAnsi="Consolas"/>
          <w:sz w:val="18"/>
        </w:rPr>
        <w:t xml:space="preserve">          "normalize": "LOWERCASE_TRIM",</w:t>
      </w:r>
    </w:p>
    <w:p>
      <w:pPr>
        <w:pStyle w:val="NoSpacing"/>
        <w:shd w:fill="F5F5F5" w:val="clear"/>
        <w:ind w:left="432"/>
      </w:pPr>
      <w:r>
        <w:rPr>
          <w:rFonts w:ascii="Consolas" w:hAnsi="Consolas"/>
          <w:sz w:val="18"/>
        </w:rPr>
        <w:t xml:space="preserve">          "weight": 1.0,</w:t>
      </w:r>
    </w:p>
    <w:p>
      <w:pPr>
        <w:pStyle w:val="NoSpacing"/>
        <w:shd w:fill="F5F5F5" w:val="clear"/>
        <w:ind w:left="432"/>
      </w:pPr>
      <w:r>
        <w:rPr>
          <w:rFonts w:ascii="Consolas" w:hAnsi="Consolas"/>
          <w:sz w:val="18"/>
        </w:rPr>
        <w:t xml:space="preserve">          "score": 0.95</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"minScore": 0.95,</w:t>
      </w:r>
    </w:p>
    <w:p>
      <w:pPr>
        <w:pStyle w:val="NoSpacing"/>
        <w:shd w:fill="F5F5F5" w:val="clear"/>
        <w:ind w:left="432"/>
      </w:pPr>
      <w:r>
        <w:rPr>
          <w:rFonts w:ascii="Consolas" w:hAnsi="Consolas"/>
          <w:sz w:val="18"/>
        </w:rPr>
        <w:t xml:space="preserve">      "autoMerge": true</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2"/>
      </w:pPr>
      <w:r>
        <w:t>2.2 Common Deterministic Identifiers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Identifier</w:t>
            </w:r>
          </w:p>
        </w:tc>
        <w:tc>
          <w:tcPr>
            <w:tcW w:type="dxa" w:w="2340"/>
            <w:shd w:fill="0C548A" w:val="clear"/>
          </w:tcPr>
          <w:p>
            <w:r>
              <w:rPr>
                <w:b/>
                <w:color w:val="FFFFFF"/>
                <w:sz w:val="20"/>
              </w:rPr>
              <w:t>Entity Type</w:t>
            </w:r>
          </w:p>
        </w:tc>
        <w:tc>
          <w:tcPr>
            <w:tcW w:type="dxa" w:w="2340"/>
            <w:shd w:fill="0C548A" w:val="clear"/>
          </w:tcPr>
          <w:p>
            <w:r>
              <w:rPr>
                <w:b/>
                <w:color w:val="FFFFFF"/>
                <w:sz w:val="20"/>
              </w:rPr>
              <w:t>Normalization</w:t>
            </w:r>
          </w:p>
        </w:tc>
        <w:tc>
          <w:tcPr>
            <w:tcW w:type="dxa" w:w="2340"/>
            <w:shd w:fill="0C548A" w:val="clear"/>
          </w:tcPr>
          <w:p>
            <w:r>
              <w:rPr>
                <w:b/>
                <w:color w:val="FFFFFF"/>
                <w:sz w:val="20"/>
              </w:rPr>
              <w:t>Auto-Merge?</w:t>
            </w:r>
          </w:p>
        </w:tc>
      </w:tr>
      <w:tr>
        <w:tc>
          <w:tcPr>
            <w:tcW w:type="dxa" w:w="2340"/>
          </w:tcPr>
          <w:p>
            <w:r>
              <w:rPr>
                <w:sz w:val="20"/>
              </w:rPr>
              <w:t>SSN / Tax ID</w:t>
            </w:r>
          </w:p>
        </w:tc>
        <w:tc>
          <w:tcPr>
            <w:tcW w:type="dxa" w:w="2340"/>
          </w:tcPr>
          <w:p>
            <w:r>
              <w:rPr>
                <w:sz w:val="20"/>
              </w:rPr>
              <w:t>Individual</w:t>
            </w:r>
          </w:p>
        </w:tc>
        <w:tc>
          <w:tcPr>
            <w:tcW w:type="dxa" w:w="2340"/>
          </w:tcPr>
          <w:p>
            <w:r>
              <w:rPr>
                <w:sz w:val="20"/>
              </w:rPr>
              <w:t>Remove dashes, leading zeros</w:t>
            </w:r>
          </w:p>
        </w:tc>
        <w:tc>
          <w:tcPr>
            <w:tcW w:type="dxa" w:w="2340"/>
          </w:tcPr>
          <w:p>
            <w:r>
              <w:rPr>
                <w:sz w:val="20"/>
              </w:rPr>
              <w:t>Yes</w:t>
            </w:r>
          </w:p>
        </w:tc>
      </w:tr>
      <w:tr>
        <w:tc>
          <w:tcPr>
            <w:tcW w:type="dxa" w:w="2340"/>
            <w:shd w:fill="F4F6FA" w:val="clear"/>
          </w:tcPr>
          <w:p>
            <w:r>
              <w:rPr>
                <w:sz w:val="20"/>
              </w:rPr>
              <w:t>EIN / FEIN</w:t>
            </w:r>
          </w:p>
        </w:tc>
        <w:tc>
          <w:tcPr>
            <w:tcW w:type="dxa" w:w="2340"/>
            <w:shd w:fill="F4F6FA" w:val="clear"/>
          </w:tcPr>
          <w:p>
            <w:r>
              <w:rPr>
                <w:sz w:val="20"/>
              </w:rPr>
              <w:t>Organization</w:t>
            </w:r>
          </w:p>
        </w:tc>
        <w:tc>
          <w:tcPr>
            <w:tcW w:type="dxa" w:w="2340"/>
            <w:shd w:fill="F4F6FA" w:val="clear"/>
          </w:tcPr>
          <w:p>
            <w:r>
              <w:rPr>
                <w:sz w:val="20"/>
              </w:rPr>
              <w:t>Remove dashes</w:t>
            </w:r>
          </w:p>
        </w:tc>
        <w:tc>
          <w:tcPr>
            <w:tcW w:type="dxa" w:w="2340"/>
            <w:shd w:fill="F4F6FA" w:val="clear"/>
          </w:tcPr>
          <w:p>
            <w:r>
              <w:rPr>
                <w:sz w:val="20"/>
              </w:rPr>
              <w:t>Yes</w:t>
            </w:r>
          </w:p>
        </w:tc>
      </w:tr>
      <w:tr>
        <w:tc>
          <w:tcPr>
            <w:tcW w:type="dxa" w:w="2340"/>
          </w:tcPr>
          <w:p>
            <w:r>
              <w:rPr>
                <w:sz w:val="20"/>
              </w:rPr>
              <w:t>DUNS Number</w:t>
            </w:r>
          </w:p>
        </w:tc>
        <w:tc>
          <w:tcPr>
            <w:tcW w:type="dxa" w:w="2340"/>
          </w:tcPr>
          <w:p>
            <w:r>
              <w:rPr>
                <w:sz w:val="20"/>
              </w:rPr>
              <w:t>Organization</w:t>
            </w:r>
          </w:p>
        </w:tc>
        <w:tc>
          <w:tcPr>
            <w:tcW w:type="dxa" w:w="2340"/>
          </w:tcPr>
          <w:p>
            <w:r>
              <w:rPr>
                <w:sz w:val="20"/>
              </w:rPr>
              <w:t>9-digit zero-pad</w:t>
            </w:r>
          </w:p>
        </w:tc>
        <w:tc>
          <w:tcPr>
            <w:tcW w:type="dxa" w:w="2340"/>
          </w:tcPr>
          <w:p>
            <w:r>
              <w:rPr>
                <w:sz w:val="20"/>
              </w:rPr>
              <w:t>Yes</w:t>
            </w:r>
          </w:p>
        </w:tc>
      </w:tr>
      <w:tr>
        <w:tc>
          <w:tcPr>
            <w:tcW w:type="dxa" w:w="2340"/>
            <w:shd w:fill="F4F6FA" w:val="clear"/>
          </w:tcPr>
          <w:p>
            <w:r>
              <w:rPr>
                <w:sz w:val="20"/>
              </w:rPr>
              <w:t>Email Address</w:t>
            </w:r>
          </w:p>
        </w:tc>
        <w:tc>
          <w:tcPr>
            <w:tcW w:type="dxa" w:w="2340"/>
            <w:shd w:fill="F4F6FA" w:val="clear"/>
          </w:tcPr>
          <w:p>
            <w:r>
              <w:rPr>
                <w:sz w:val="20"/>
              </w:rPr>
              <w:t>Individual / Org</w:t>
            </w:r>
          </w:p>
        </w:tc>
        <w:tc>
          <w:tcPr>
            <w:tcW w:type="dxa" w:w="2340"/>
            <w:shd w:fill="F4F6FA" w:val="clear"/>
          </w:tcPr>
          <w:p>
            <w:r>
              <w:rPr>
                <w:sz w:val="20"/>
              </w:rPr>
              <w:t>Lowercase, trim whitespace</w:t>
            </w:r>
          </w:p>
        </w:tc>
        <w:tc>
          <w:tcPr>
            <w:tcW w:type="dxa" w:w="2340"/>
            <w:shd w:fill="F4F6FA" w:val="clear"/>
          </w:tcPr>
          <w:p>
            <w:r>
              <w:rPr>
                <w:sz w:val="20"/>
              </w:rPr>
              <w:t>Yes, for personal email</w:t>
            </w:r>
          </w:p>
        </w:tc>
      </w:tr>
      <w:tr>
        <w:tc>
          <w:tcPr>
            <w:tcW w:type="dxa" w:w="2340"/>
          </w:tcPr>
          <w:p>
            <w:r>
              <w:rPr>
                <w:sz w:val="20"/>
              </w:rPr>
              <w:t>Phone (E.164)</w:t>
            </w:r>
          </w:p>
        </w:tc>
        <w:tc>
          <w:tcPr>
            <w:tcW w:type="dxa" w:w="2340"/>
          </w:tcPr>
          <w:p>
            <w:r>
              <w:rPr>
                <w:sz w:val="20"/>
              </w:rPr>
              <w:t>Individual / Org</w:t>
            </w:r>
          </w:p>
        </w:tc>
        <w:tc>
          <w:tcPr>
            <w:tcW w:type="dxa" w:w="2340"/>
          </w:tcPr>
          <w:p>
            <w:r>
              <w:rPr>
                <w:sz w:val="20"/>
              </w:rPr>
              <w:t>Strip formatting, add country code</w:t>
            </w:r>
          </w:p>
        </w:tc>
        <w:tc>
          <w:tcPr>
            <w:tcW w:type="dxa" w:w="2340"/>
          </w:tcPr>
          <w:p>
            <w:r>
              <w:rPr>
                <w:sz w:val="20"/>
              </w:rPr>
              <w:t>No — shared numbers</w:t>
            </w:r>
          </w:p>
        </w:tc>
      </w:tr>
      <w:tr>
        <w:tc>
          <w:tcPr>
            <w:tcW w:type="dxa" w:w="2340"/>
            <w:shd w:fill="F4F6FA" w:val="clear"/>
          </w:tcPr>
          <w:p>
            <w:r>
              <w:rPr>
                <w:sz w:val="20"/>
              </w:rPr>
              <w:t>GTIN / UPC</w:t>
            </w:r>
          </w:p>
        </w:tc>
        <w:tc>
          <w:tcPr>
            <w:tcW w:type="dxa" w:w="2340"/>
            <w:shd w:fill="F4F6FA" w:val="clear"/>
          </w:tcPr>
          <w:p>
            <w:r>
              <w:rPr>
                <w:sz w:val="20"/>
              </w:rPr>
              <w:t>Product</w:t>
            </w:r>
          </w:p>
        </w:tc>
        <w:tc>
          <w:tcPr>
            <w:tcW w:type="dxa" w:w="2340"/>
            <w:shd w:fill="F4F6FA" w:val="clear"/>
          </w:tcPr>
          <w:p>
            <w:r>
              <w:rPr>
                <w:sz w:val="20"/>
              </w:rPr>
              <w:t>14-digit zero-pad</w:t>
            </w:r>
          </w:p>
        </w:tc>
        <w:tc>
          <w:tcPr>
            <w:tcW w:type="dxa" w:w="2340"/>
            <w:shd w:fill="F4F6FA" w:val="clear"/>
          </w:tcPr>
          <w:p>
            <w:r>
              <w:rPr>
                <w:sz w:val="20"/>
              </w:rPr>
              <w:t>Yes</w:t>
            </w:r>
          </w:p>
        </w:tc>
      </w:tr>
      <w:tr>
        <w:tc>
          <w:tcPr>
            <w:tcW w:type="dxa" w:w="2340"/>
          </w:tcPr>
          <w:p>
            <w:r>
              <w:rPr>
                <w:sz w:val="20"/>
              </w:rPr>
              <w:t>NPI Number</w:t>
            </w:r>
          </w:p>
        </w:tc>
        <w:tc>
          <w:tcPr>
            <w:tcW w:type="dxa" w:w="2340"/>
          </w:tcPr>
          <w:p>
            <w:r>
              <w:rPr>
                <w:sz w:val="20"/>
              </w:rPr>
              <w:t>Healthcare Provider</w:t>
            </w:r>
          </w:p>
        </w:tc>
        <w:tc>
          <w:tcPr>
            <w:tcW w:type="dxa" w:w="2340"/>
          </w:tcPr>
          <w:p>
            <w:r>
              <w:rPr>
                <w:sz w:val="20"/>
              </w:rPr>
              <w:t>10-digit exact</w:t>
            </w:r>
          </w:p>
        </w:tc>
        <w:tc>
          <w:tcPr>
            <w:tcW w:type="dxa" w:w="2340"/>
          </w:tcPr>
          <w:p>
            <w:r>
              <w:rPr>
                <w:sz w:val="20"/>
              </w:rPr>
              <w:t>Yes</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Never auto-merge solely on phone number match. Phone numbers are frequently shared (family plans, office lines) and will cause incorrect merges at scale.</w:t>
      </w:r>
    </w:p>
    <w:p/>
    <w:p>
      <w:pPr>
        <w:pStyle w:val="Heading1"/>
      </w:pPr>
      <w:r>
        <w:t>3. Probabilistic Rules</w:t>
      </w:r>
    </w:p>
    <w:p>
      <w:pPr>
        <w:pStyle w:val="Heading2"/>
      </w:pPr>
      <w:r>
        <w:t>3.1 Fuzzy Matching Algorithms</w:t>
      </w:r>
    </w:p>
    <w:tbl>
      <w:tblPr>
        <w:tblStyle w:val="TableGrid"/>
        <w:tblW w:type="auto" w:w="0"/>
        <w:tblLayout w:type="autofit"/>
        <w:tblLook w:firstColumn="1" w:firstRow="1" w:lastColumn="0" w:lastRow="0" w:noHBand="0" w:noVBand="1" w:val="04A0"/>
      </w:tblPr>
      <w:tblGrid>
        <w:gridCol w:w="2340"/>
        <w:gridCol w:w="2340"/>
        <w:gridCol w:w="2340"/>
        <w:gridCol w:w="2340"/>
      </w:tblGrid>
      <w:tr>
        <w:tc>
          <w:tcPr>
            <w:tcW w:type="dxa" w:w="2340"/>
            <w:shd w:fill="0C548A" w:val="clear"/>
          </w:tcPr>
          <w:p>
            <w:r>
              <w:rPr>
                <w:b/>
                <w:color w:val="FFFFFF"/>
                <w:sz w:val="20"/>
              </w:rPr>
              <w:t>Algorithm</w:t>
            </w:r>
          </w:p>
        </w:tc>
        <w:tc>
          <w:tcPr>
            <w:tcW w:type="dxa" w:w="2340"/>
            <w:shd w:fill="0C548A" w:val="clear"/>
          </w:tcPr>
          <w:p>
            <w:r>
              <w:rPr>
                <w:b/>
                <w:color w:val="FFFFFF"/>
                <w:sz w:val="20"/>
              </w:rPr>
              <w:t>Use Case</w:t>
            </w:r>
          </w:p>
        </w:tc>
        <w:tc>
          <w:tcPr>
            <w:tcW w:type="dxa" w:w="2340"/>
            <w:shd w:fill="0C548A" w:val="clear"/>
          </w:tcPr>
          <w:p>
            <w:r>
              <w:rPr>
                <w:b/>
                <w:color w:val="FFFFFF"/>
                <w:sz w:val="20"/>
              </w:rPr>
              <w:t>Performance</w:t>
            </w:r>
          </w:p>
        </w:tc>
        <w:tc>
          <w:tcPr>
            <w:tcW w:type="dxa" w:w="2340"/>
            <w:shd w:fill="0C548A" w:val="clear"/>
          </w:tcPr>
          <w:p>
            <w:r>
              <w:rPr>
                <w:b/>
                <w:color w:val="FFFFFF"/>
                <w:sz w:val="20"/>
              </w:rPr>
              <w:t>Notes</w:t>
            </w:r>
          </w:p>
        </w:tc>
      </w:tr>
      <w:tr>
        <w:tc>
          <w:tcPr>
            <w:tcW w:type="dxa" w:w="2340"/>
          </w:tcPr>
          <w:p>
            <w:r>
              <w:rPr>
                <w:sz w:val="20"/>
              </w:rPr>
              <w:t>Levenshtein Distance</w:t>
            </w:r>
          </w:p>
        </w:tc>
        <w:tc>
          <w:tcPr>
            <w:tcW w:type="dxa" w:w="2340"/>
          </w:tcPr>
          <w:p>
            <w:r>
              <w:rPr>
                <w:sz w:val="20"/>
              </w:rPr>
              <w:t>Name typos and transpositions</w:t>
            </w:r>
          </w:p>
        </w:tc>
        <w:tc>
          <w:tcPr>
            <w:tcW w:type="dxa" w:w="2340"/>
          </w:tcPr>
          <w:p>
            <w:r>
              <w:rPr>
                <w:sz w:val="20"/>
              </w:rPr>
              <w:t>High quality</w:t>
            </w:r>
          </w:p>
        </w:tc>
        <w:tc>
          <w:tcPr>
            <w:tcW w:type="dxa" w:w="2340"/>
          </w:tcPr>
          <w:p>
            <w:r>
              <w:rPr>
                <w:sz w:val="20"/>
              </w:rPr>
              <w:t>Edit distance scoring</w:t>
            </w:r>
          </w:p>
        </w:tc>
      </w:tr>
      <w:tr>
        <w:tc>
          <w:tcPr>
            <w:tcW w:type="dxa" w:w="2340"/>
            <w:shd w:fill="F4F6FA" w:val="clear"/>
          </w:tcPr>
          <w:p>
            <w:r>
              <w:rPr>
                <w:sz w:val="20"/>
              </w:rPr>
              <w:t>Soundex / Metaphone</w:t>
            </w:r>
          </w:p>
        </w:tc>
        <w:tc>
          <w:tcPr>
            <w:tcW w:type="dxa" w:w="2340"/>
            <w:shd w:fill="F4F6FA" w:val="clear"/>
          </w:tcPr>
          <w:p>
            <w:r>
              <w:rPr>
                <w:sz w:val="20"/>
              </w:rPr>
              <w:t>Phonetic name matching (Smith/Smyth)</w:t>
            </w:r>
          </w:p>
        </w:tc>
        <w:tc>
          <w:tcPr>
            <w:tcW w:type="dxa" w:w="2340"/>
            <w:shd w:fill="F4F6FA" w:val="clear"/>
          </w:tcPr>
          <w:p>
            <w:r>
              <w:rPr>
                <w:sz w:val="20"/>
              </w:rPr>
              <w:t>Medium quality</w:t>
            </w:r>
          </w:p>
        </w:tc>
        <w:tc>
          <w:tcPr>
            <w:tcW w:type="dxa" w:w="2340"/>
            <w:shd w:fill="F4F6FA" w:val="clear"/>
          </w:tcPr>
          <w:p>
            <w:r>
              <w:rPr>
                <w:sz w:val="20"/>
              </w:rPr>
              <w:t>Good for phonetic variants</w:t>
            </w:r>
          </w:p>
        </w:tc>
      </w:tr>
      <w:tr>
        <w:tc>
          <w:tcPr>
            <w:tcW w:type="dxa" w:w="2340"/>
          </w:tcPr>
          <w:p>
            <w:r>
              <w:rPr>
                <w:sz w:val="20"/>
              </w:rPr>
              <w:t>Jaro-Winkler</w:t>
            </w:r>
          </w:p>
        </w:tc>
        <w:tc>
          <w:tcPr>
            <w:tcW w:type="dxa" w:w="2340"/>
          </w:tcPr>
          <w:p>
            <w:r>
              <w:rPr>
                <w:sz w:val="20"/>
              </w:rPr>
              <w:t>Short string similarity (names, codes)</w:t>
            </w:r>
          </w:p>
        </w:tc>
        <w:tc>
          <w:tcPr>
            <w:tcW w:type="dxa" w:w="2340"/>
          </w:tcPr>
          <w:p>
            <w:r>
              <w:rPr>
                <w:sz w:val="20"/>
              </w:rPr>
              <w:t>High quality</w:t>
            </w:r>
          </w:p>
        </w:tc>
        <w:tc>
          <w:tcPr>
            <w:tcW w:type="dxa" w:w="2340"/>
          </w:tcPr>
          <w:p>
            <w:r>
              <w:rPr>
                <w:sz w:val="20"/>
              </w:rPr>
              <w:t>Prefix-weighted, good for names</w:t>
            </w:r>
          </w:p>
        </w:tc>
      </w:tr>
      <w:tr>
        <w:tc>
          <w:tcPr>
            <w:tcW w:type="dxa" w:w="2340"/>
            <w:shd w:fill="F4F6FA" w:val="clear"/>
          </w:tcPr>
          <w:p>
            <w:r>
              <w:rPr>
                <w:sz w:val="20"/>
              </w:rPr>
              <w:t>Token Set Ratio</w:t>
            </w:r>
          </w:p>
        </w:tc>
        <w:tc>
          <w:tcPr>
            <w:tcW w:type="dxa" w:w="2340"/>
            <w:shd w:fill="F4F6FA" w:val="clear"/>
          </w:tcPr>
          <w:p>
            <w:r>
              <w:rPr>
                <w:sz w:val="20"/>
              </w:rPr>
              <w:t>Multi-word field matching (company names)</w:t>
            </w:r>
          </w:p>
        </w:tc>
        <w:tc>
          <w:tcPr>
            <w:tcW w:type="dxa" w:w="2340"/>
            <w:shd w:fill="F4F6FA" w:val="clear"/>
          </w:tcPr>
          <w:p>
            <w:r>
              <w:rPr>
                <w:sz w:val="20"/>
              </w:rPr>
              <w:t>High quality</w:t>
            </w:r>
          </w:p>
        </w:tc>
        <w:tc>
          <w:tcPr>
            <w:tcW w:type="dxa" w:w="2340"/>
            <w:shd w:fill="F4F6FA" w:val="clear"/>
          </w:tcPr>
          <w:p>
            <w:r>
              <w:rPr>
                <w:sz w:val="20"/>
              </w:rPr>
              <w:t>Order-independent token comparison</w:t>
            </w:r>
          </w:p>
        </w:tc>
      </w:tr>
      <w:tr>
        <w:tc>
          <w:tcPr>
            <w:tcW w:type="dxa" w:w="2340"/>
          </w:tcPr>
          <w:p>
            <w:r>
              <w:rPr>
                <w:sz w:val="20"/>
              </w:rPr>
              <w:t>Exact (normalized)</w:t>
            </w:r>
          </w:p>
        </w:tc>
        <w:tc>
          <w:tcPr>
            <w:tcW w:type="dxa" w:w="2340"/>
          </w:tcPr>
          <w:p>
            <w:r>
              <w:rPr>
                <w:sz w:val="20"/>
              </w:rPr>
              <w:t>Standardized fields (state, country codes)</w:t>
            </w:r>
          </w:p>
        </w:tc>
        <w:tc>
          <w:tcPr>
            <w:tcW w:type="dxa" w:w="2340"/>
          </w:tcPr>
          <w:p>
            <w:r>
              <w:rPr>
                <w:sz w:val="20"/>
              </w:rPr>
              <w:t>Highest</w:t>
            </w:r>
          </w:p>
        </w:tc>
        <w:tc>
          <w:tcPr>
            <w:tcW w:type="dxa" w:w="2340"/>
          </w:tcPr>
          <w:p>
            <w:r>
              <w:rPr>
                <w:sz w:val="20"/>
              </w:rPr>
              <w:t>After normalization</w:t>
            </w:r>
          </w:p>
        </w:tc>
      </w:tr>
      <w:tr>
        <w:tc>
          <w:tcPr>
            <w:tcW w:type="dxa" w:w="2340"/>
            <w:shd w:fill="F4F6FA" w:val="clear"/>
          </w:tcPr>
          <w:p>
            <w:r>
              <w:rPr>
                <w:sz w:val="20"/>
              </w:rPr>
              <w:t>Containment</w:t>
            </w:r>
          </w:p>
        </w:tc>
        <w:tc>
          <w:tcPr>
            <w:tcW w:type="dxa" w:w="2340"/>
            <w:shd w:fill="F4F6FA" w:val="clear"/>
          </w:tcPr>
          <w:p>
            <w:r>
              <w:rPr>
                <w:sz w:val="20"/>
              </w:rPr>
              <w:t>DBA name within legal name</w:t>
            </w:r>
          </w:p>
        </w:tc>
        <w:tc>
          <w:tcPr>
            <w:tcW w:type="dxa" w:w="2340"/>
            <w:shd w:fill="F4F6FA" w:val="clear"/>
          </w:tcPr>
          <w:p>
            <w:r>
              <w:rPr>
                <w:sz w:val="20"/>
              </w:rPr>
              <w:t>Medium</w:t>
            </w:r>
          </w:p>
        </w:tc>
        <w:tc>
          <w:tcPr>
            <w:tcW w:type="dxa" w:w="2340"/>
            <w:shd w:fill="F4F6FA" w:val="clear"/>
          </w:tcPr>
          <w:p>
            <w:r>
              <w:rPr>
                <w:sz w:val="20"/>
              </w:rPr>
              <w:t>One string within another</w:t>
            </w:r>
          </w:p>
        </w:tc>
      </w:tr>
    </w:tbl>
    <w:p/>
    <w:p>
      <w:pPr>
        <w:pStyle w:val="Heading2"/>
      </w:pPr>
      <w:r>
        <w:t>3.2 Multi-Attribute Rule Example</w:t>
      </w:r>
    </w:p>
    <w:p>
      <w:pPr>
        <w:pStyle w:val="NoSpacing"/>
        <w:shd w:fill="F5F5F5" w:val="clear"/>
        <w:ind w:left="432"/>
      </w:pPr>
      <w:r>
        <w:rPr>
          <w:rFonts w:ascii="Consolas" w:hAnsi="Consolas"/>
          <w:sz w:val="18"/>
        </w:rPr>
        <w:t># Probabilistic rule: Individual name + address matching</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"name": "Individual_Name_Address_Fuzzy",</w:t>
      </w:r>
    </w:p>
    <w:p>
      <w:pPr>
        <w:pStyle w:val="NoSpacing"/>
        <w:shd w:fill="F5F5F5" w:val="clear"/>
        <w:ind w:left="432"/>
      </w:pPr>
      <w:r>
        <w:rPr>
          <w:rFonts w:ascii="Consolas" w:hAnsi="Consolas"/>
          <w:sz w:val="18"/>
        </w:rPr>
        <w:t xml:space="preserve">  "type": "PROBABILISTIC",</w:t>
      </w:r>
    </w:p>
    <w:p>
      <w:pPr>
        <w:pStyle w:val="NoSpacing"/>
        <w:shd w:fill="F5F5F5" w:val="clear"/>
        <w:ind w:left="432"/>
      </w:pPr>
      <w:r>
        <w:rPr>
          <w:rFonts w:ascii="Consolas" w:hAnsi="Consolas"/>
          <w:sz w:val="18"/>
        </w:rPr>
        <w:t xml:space="preserve">  "conditions":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 "firstName",</w:t>
      </w:r>
    </w:p>
    <w:p>
      <w:pPr>
        <w:pStyle w:val="NoSpacing"/>
        <w:shd w:fill="F5F5F5" w:val="clear"/>
        <w:ind w:left="432"/>
      </w:pPr>
      <w:r>
        <w:rPr>
          <w:rFonts w:ascii="Consolas" w:hAnsi="Consolas"/>
          <w:sz w:val="18"/>
        </w:rPr>
        <w:t xml:space="preserve">      "matchType": "JARO_WINKLER",</w:t>
      </w:r>
    </w:p>
    <w:p>
      <w:pPr>
        <w:pStyle w:val="NoSpacing"/>
        <w:shd w:fill="F5F5F5" w:val="clear"/>
        <w:ind w:left="432"/>
      </w:pPr>
      <w:r>
        <w:rPr>
          <w:rFonts w:ascii="Consolas" w:hAnsi="Consolas"/>
          <w:sz w:val="18"/>
        </w:rPr>
        <w:t xml:space="preserve">      "weight": 0.25,</w:t>
      </w:r>
    </w:p>
    <w:p>
      <w:pPr>
        <w:pStyle w:val="NoSpacing"/>
        <w:shd w:fill="F5F5F5" w:val="clear"/>
        <w:ind w:left="432"/>
      </w:pPr>
      <w:r>
        <w:rPr>
          <w:rFonts w:ascii="Consolas" w:hAnsi="Consolas"/>
          <w:sz w:val="18"/>
        </w:rPr>
        <w:t xml:space="preserve">      "minThreshold": 0.80</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 "lastName",</w:t>
      </w:r>
    </w:p>
    <w:p>
      <w:pPr>
        <w:pStyle w:val="NoSpacing"/>
        <w:shd w:fill="F5F5F5" w:val="clear"/>
        <w:ind w:left="432"/>
      </w:pPr>
      <w:r>
        <w:rPr>
          <w:rFonts w:ascii="Consolas" w:hAnsi="Consolas"/>
          <w:sz w:val="18"/>
        </w:rPr>
        <w:t xml:space="preserve">      "matchType": "JARO_WINKLER",</w:t>
      </w:r>
    </w:p>
    <w:p>
      <w:pPr>
        <w:pStyle w:val="NoSpacing"/>
        <w:shd w:fill="F5F5F5" w:val="clear"/>
        <w:ind w:left="432"/>
      </w:pPr>
      <w:r>
        <w:rPr>
          <w:rFonts w:ascii="Consolas" w:hAnsi="Consolas"/>
          <w:sz w:val="18"/>
        </w:rPr>
        <w:t xml:space="preserve">      "weight": 0.35,</w:t>
      </w:r>
    </w:p>
    <w:p>
      <w:pPr>
        <w:pStyle w:val="NoSpacing"/>
        <w:shd w:fill="F5F5F5" w:val="clear"/>
        <w:ind w:left="432"/>
      </w:pPr>
      <w:r>
        <w:rPr>
          <w:rFonts w:ascii="Consolas" w:hAnsi="Consolas"/>
          <w:sz w:val="18"/>
        </w:rPr>
        <w:t xml:space="preserve">      "minThreshold": 0.85</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 "addresses[*].postalCode",</w:t>
      </w:r>
    </w:p>
    <w:p>
      <w:pPr>
        <w:pStyle w:val="NoSpacing"/>
        <w:shd w:fill="F5F5F5" w:val="clear"/>
        <w:ind w:left="432"/>
      </w:pPr>
      <w:r>
        <w:rPr>
          <w:rFonts w:ascii="Consolas" w:hAnsi="Consolas"/>
          <w:sz w:val="18"/>
        </w:rPr>
        <w:t xml:space="preserve">      "matchType": "EXACT_NORMALIZED",</w:t>
      </w:r>
    </w:p>
    <w:p>
      <w:pPr>
        <w:pStyle w:val="NoSpacing"/>
        <w:shd w:fill="F5F5F5" w:val="clear"/>
        <w:ind w:left="432"/>
      </w:pPr>
      <w:r>
        <w:rPr>
          <w:rFonts w:ascii="Consolas" w:hAnsi="Consolas"/>
          <w:sz w:val="18"/>
        </w:rPr>
        <w:t xml:space="preserve">      "weight": 0.20</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 "birthDate",</w:t>
      </w:r>
    </w:p>
    <w:p>
      <w:pPr>
        <w:pStyle w:val="NoSpacing"/>
        <w:shd w:fill="F5F5F5" w:val="clear"/>
        <w:ind w:left="432"/>
      </w:pPr>
      <w:r>
        <w:rPr>
          <w:rFonts w:ascii="Consolas" w:hAnsi="Consolas"/>
          <w:sz w:val="18"/>
        </w:rPr>
        <w:t xml:space="preserve">      "matchType": "EXACT",</w:t>
      </w:r>
    </w:p>
    <w:p>
      <w:pPr>
        <w:pStyle w:val="NoSpacing"/>
        <w:shd w:fill="F5F5F5" w:val="clear"/>
        <w:ind w:left="432"/>
      </w:pPr>
      <w:r>
        <w:rPr>
          <w:rFonts w:ascii="Consolas" w:hAnsi="Consolas"/>
          <w:sz w:val="18"/>
        </w:rPr>
        <w:t xml:space="preserve">      "weight": 0.20</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"reviewThreshold": 0.72,</w:t>
      </w:r>
    </w:p>
    <w:p>
      <w:pPr>
        <w:pStyle w:val="NoSpacing"/>
        <w:shd w:fill="F5F5F5" w:val="clear"/>
        <w:ind w:left="432"/>
      </w:pPr>
      <w:r>
        <w:rPr>
          <w:rFonts w:ascii="Consolas" w:hAnsi="Consolas"/>
          <w:sz w:val="18"/>
        </w:rPr>
        <w:t xml:space="preserve">  "mergeThreshold": 0.90</w:t>
      </w:r>
    </w:p>
    <w:p>
      <w:pPr>
        <w:pStyle w:val="NoSpacing"/>
        <w:shd w:fill="F5F5F5" w:val="clear"/>
        <w:ind w:left="432"/>
      </w:pPr>
      <w:r>
        <w:rPr>
          <w:rFonts w:ascii="Consolas" w:hAnsi="Consolas"/>
          <w:sz w:val="18"/>
        </w:rPr>
        <w:t>}</w:t>
      </w:r>
    </w:p>
    <w:p/>
    <w:p>
      <w:pPr>
        <w:pStyle w:val="Heading1"/>
      </w:pPr>
      <w:r>
        <w:t>4. Rule Set Configuration</w:t>
      </w:r>
    </w:p>
    <w:p>
      <w:pPr>
        <w:pStyle w:val="Heading2"/>
      </w:pPr>
      <w:r>
        <w:t>4.1 Rule Set Hierarchy</w:t>
      </w:r>
    </w:p>
    <w:p>
      <w:r>
        <w:t>Reltio evaluates multiple rule sets in order. Place deterministic rules first (highest confidence), followed by probabilistic rule sets by specificity.</w:t>
      </w:r>
    </w:p>
    <w:p>
      <w:pPr>
        <w:pStyle w:val="ListNumber"/>
      </w:pPr>
      <w:r>
        <w:t>Level 1 — Deterministic: SSN, DUNS, GTIN exact match → immediate merge</w:t>
      </w:r>
    </w:p>
    <w:p>
      <w:pPr>
        <w:pStyle w:val="ListNumber"/>
      </w:pPr>
      <w:r>
        <w:t>Level 2 — High Confidence Probabilistic: Email + name match → likely merge</w:t>
      </w:r>
    </w:p>
    <w:p>
      <w:pPr>
        <w:pStyle w:val="ListNumber"/>
      </w:pPr>
      <w:r>
        <w:t>Level 3 — Medium Confidence: Name + address fuzzy → review queue</w:t>
      </w:r>
    </w:p>
    <w:p>
      <w:pPr>
        <w:pStyle w:val="ListNumber"/>
      </w:pPr>
      <w:r>
        <w:t>Level 4 — Blocking Rules: Ensure only same-country or same-domain entities are compared</w:t>
      </w:r>
    </w:p>
    <w:p>
      <w:pPr>
        <w:pStyle w:val="Heading2"/>
      </w:pPr>
      <w:r>
        <w:t>4.2 Blocking Rules</w:t>
      </w:r>
    </w:p>
    <w:p>
      <w:r>
        <w:t>Blocking rules limit which entity pairs are compared, dramatically improving performance at scale. Without blocking, matching is O(n²) — impossible for millions of entities.</w:t>
      </w:r>
    </w:p>
    <w:p>
      <w:pPr>
        <w:pStyle w:val="ListBullet"/>
      </w:pPr>
      <w:r>
        <w:t>Block by country: Only compare entities within same country code</w:t>
      </w:r>
    </w:p>
    <w:p>
      <w:pPr>
        <w:pStyle w:val="ListBullet"/>
      </w:pPr>
      <w:r>
        <w:t>Block by name token: Share at least 1 token in first or last name</w:t>
      </w:r>
    </w:p>
    <w:p>
      <w:pPr>
        <w:pStyle w:val="ListBullet"/>
      </w:pPr>
      <w:r>
        <w:t>Block by postal prefix: Share first 3 digits of postal code</w:t>
      </w:r>
    </w:p>
    <w:p>
      <w:pPr>
        <w:pStyle w:val="ListBullet"/>
      </w:pPr>
      <w:r>
        <w:t>Block by phone prefix: Share first 6 digits of phone number</w:t>
      </w:r>
    </w:p>
    <w:p>
      <w:pPr>
        <w:pStyle w:val="Heading1"/>
      </w:pPr>
      <w:r>
        <w:t>5. Threshold Calibration</w:t>
      </w:r>
    </w:p>
    <w:p>
      <w:pPr>
        <w:pStyle w:val="Heading2"/>
      </w:pPr>
      <w:r>
        <w:t>5.1 Calibration Methodology</w:t>
      </w:r>
    </w:p>
    <w:p>
      <w:pPr>
        <w:pStyle w:val="ListNumber"/>
      </w:pPr>
      <w:r>
        <w:t>Extract random sample of 2,000 entity pairs from production data</w:t>
      </w:r>
    </w:p>
    <w:p>
      <w:pPr>
        <w:pStyle w:val="ListNumber"/>
      </w:pPr>
      <w:r>
        <w:t>Score each pair using current rule set configuration</w:t>
      </w:r>
    </w:p>
    <w:p>
      <w:pPr>
        <w:pStyle w:val="ListNumber"/>
      </w:pPr>
      <w:r>
        <w:t>Manual review: Human expert labels each pair as Match/Non-Match/Uncertain</w:t>
      </w:r>
    </w:p>
    <w:p>
      <w:pPr>
        <w:pStyle w:val="ListNumber"/>
      </w:pPr>
      <w:r>
        <w:t>Analyze precision-recall curve at different threshold values</w:t>
      </w:r>
    </w:p>
    <w:p>
      <w:pPr>
        <w:pStyle w:val="ListNumber"/>
      </w:pPr>
      <w:r>
        <w:t>Select merge threshold that achieves &gt; 97% precision (minimize false merges)</w:t>
      </w:r>
    </w:p>
    <w:p>
      <w:pPr>
        <w:pStyle w:val="ListNumber"/>
      </w:pPr>
      <w:r>
        <w:t>Select review threshold that achieves &gt; 90% recall (minimize missed matches)</w:t>
      </w:r>
    </w:p>
    <w:p>
      <w:pPr>
        <w:pStyle w:val="ListNumber"/>
      </w:pPr>
      <w:r>
        <w:t>Validate on holdout set of 500 pairs before deploying to production</w:t>
      </w:r>
    </w:p>
    <w:p>
      <w:pPr>
        <w:pStyle w:val="Heading2"/>
      </w:pPr>
      <w:r>
        <w:t>5.2 Threshold Adjustment Guide</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Symptom</w:t>
            </w:r>
          </w:p>
        </w:tc>
        <w:tc>
          <w:tcPr>
            <w:tcW w:type="dxa" w:w="3120"/>
            <w:shd w:fill="0C548A" w:val="clear"/>
          </w:tcPr>
          <w:p>
            <w:r>
              <w:rPr>
                <w:b/>
                <w:color w:val="FFFFFF"/>
                <w:sz w:val="20"/>
              </w:rPr>
              <w:t>Root Cause</w:t>
            </w:r>
          </w:p>
        </w:tc>
        <w:tc>
          <w:tcPr>
            <w:tcW w:type="dxa" w:w="3120"/>
            <w:shd w:fill="0C548A" w:val="clear"/>
          </w:tcPr>
          <w:p>
            <w:r>
              <w:rPr>
                <w:b/>
                <w:color w:val="FFFFFF"/>
                <w:sz w:val="20"/>
              </w:rPr>
              <w:t>Adjustment</w:t>
            </w:r>
          </w:p>
        </w:tc>
      </w:tr>
      <w:tr>
        <w:tc>
          <w:tcPr>
            <w:tcW w:type="dxa" w:w="3120"/>
          </w:tcPr>
          <w:p>
            <w:r>
              <w:rPr>
                <w:sz w:val="20"/>
              </w:rPr>
              <w:t>Too many false merges (unrelated entities merged)</w:t>
            </w:r>
          </w:p>
        </w:tc>
        <w:tc>
          <w:tcPr>
            <w:tcW w:type="dxa" w:w="3120"/>
          </w:tcPr>
          <w:p>
            <w:r>
              <w:rPr>
                <w:sz w:val="20"/>
              </w:rPr>
              <w:t>Merge threshold too low</w:t>
            </w:r>
          </w:p>
        </w:tc>
        <w:tc>
          <w:tcPr>
            <w:tcW w:type="dxa" w:w="3120"/>
          </w:tcPr>
          <w:p>
            <w:r>
              <w:rPr>
                <w:sz w:val="20"/>
              </w:rPr>
              <w:t>Raise merge threshold by 0.02-0.05</w:t>
            </w:r>
          </w:p>
        </w:tc>
      </w:tr>
      <w:tr>
        <w:tc>
          <w:tcPr>
            <w:tcW w:type="dxa" w:w="3120"/>
            <w:shd w:fill="F4F6FA" w:val="clear"/>
          </w:tcPr>
          <w:p>
            <w:r>
              <w:rPr>
                <w:sz w:val="20"/>
              </w:rPr>
              <w:t>Too many missed duplicates (same entity in two records)</w:t>
            </w:r>
          </w:p>
        </w:tc>
        <w:tc>
          <w:tcPr>
            <w:tcW w:type="dxa" w:w="3120"/>
            <w:shd w:fill="F4F6FA" w:val="clear"/>
          </w:tcPr>
          <w:p>
            <w:r>
              <w:rPr>
                <w:sz w:val="20"/>
              </w:rPr>
              <w:t>Review threshold too high</w:t>
            </w:r>
          </w:p>
        </w:tc>
        <w:tc>
          <w:tcPr>
            <w:tcW w:type="dxa" w:w="3120"/>
            <w:shd w:fill="F4F6FA" w:val="clear"/>
          </w:tcPr>
          <w:p>
            <w:r>
              <w:rPr>
                <w:sz w:val="20"/>
              </w:rPr>
              <w:t>Lower review threshold by 0.03-0.05</w:t>
            </w:r>
          </w:p>
        </w:tc>
      </w:tr>
      <w:tr>
        <w:tc>
          <w:tcPr>
            <w:tcW w:type="dxa" w:w="3120"/>
          </w:tcPr>
          <w:p>
            <w:r>
              <w:rPr>
                <w:sz w:val="20"/>
              </w:rPr>
              <w:t>Steward queue overwhelmed</w:t>
            </w:r>
          </w:p>
        </w:tc>
        <w:tc>
          <w:tcPr>
            <w:tcW w:type="dxa" w:w="3120"/>
          </w:tcPr>
          <w:p>
            <w:r>
              <w:rPr>
                <w:sz w:val="20"/>
              </w:rPr>
              <w:t>Review zone too wide</w:t>
            </w:r>
          </w:p>
        </w:tc>
        <w:tc>
          <w:tcPr>
            <w:tcW w:type="dxa" w:w="3120"/>
          </w:tcPr>
          <w:p>
            <w:r>
              <w:rPr>
                <w:sz w:val="20"/>
              </w:rPr>
              <w:t>Raise review threshold or add rule specificity</w:t>
            </w:r>
          </w:p>
        </w:tc>
      </w:tr>
      <w:tr>
        <w:tc>
          <w:tcPr>
            <w:tcW w:type="dxa" w:w="3120"/>
            <w:shd w:fill="F4F6FA" w:val="clear"/>
          </w:tcPr>
          <w:p>
            <w:r>
              <w:rPr>
                <w:sz w:val="20"/>
              </w:rPr>
              <w:t>Auto-merge rate too low</w:t>
            </w:r>
          </w:p>
        </w:tc>
        <w:tc>
          <w:tcPr>
            <w:tcW w:type="dxa" w:w="3120"/>
            <w:shd w:fill="F4F6FA" w:val="clear"/>
          </w:tcPr>
          <w:p>
            <w:r>
              <w:rPr>
                <w:sz w:val="20"/>
              </w:rPr>
              <w:t>Merge threshold too high</w:t>
            </w:r>
          </w:p>
        </w:tc>
        <w:tc>
          <w:tcPr>
            <w:tcW w:type="dxa" w:w="3120"/>
            <w:shd w:fill="F4F6FA" w:val="clear"/>
          </w:tcPr>
          <w:p>
            <w:r>
              <w:rPr>
                <w:sz w:val="20"/>
              </w:rPr>
              <w:t>Lower merge threshold gradually with precision monitoring</w:t>
            </w:r>
          </w:p>
        </w:tc>
      </w:tr>
    </w:tbl>
    <w:p/>
    <w:p>
      <w:pPr>
        <w:pStyle w:val="Heading1"/>
      </w:pPr>
      <w:r>
        <w:t>6. Match Quality Validation</w:t>
      </w:r>
    </w:p>
    <w:p>
      <w:pPr>
        <w:pStyle w:val="Heading2"/>
      </w:pPr>
      <w:r>
        <w:t>6.1 Ongoing Match Quality Audit</w:t>
      </w:r>
    </w:p>
    <w:p>
      <w:pPr>
        <w:pStyle w:val="ListBullet"/>
      </w:pPr>
      <w:r>
        <w:t>Monthly: Randomly sample 200 auto-merged pairs — steward validates accuracy (target: &gt; 97%)</w:t>
      </w:r>
    </w:p>
    <w:p>
      <w:pPr>
        <w:pStyle w:val="ListBullet"/>
      </w:pPr>
      <w:r>
        <w:t>Monthly: Sample 100 'not a match' decisions from stewards — analyst validates (target: &gt; 95%)</w:t>
      </w:r>
    </w:p>
    <w:p>
      <w:pPr>
        <w:pStyle w:val="ListBullet"/>
      </w:pPr>
      <w:r>
        <w:t>Weekly: Monitor false merge rate via 'unmerge' action count in audit log</w:t>
      </w:r>
    </w:p>
    <w:p>
      <w:pPr>
        <w:pStyle w:val="ListBullet"/>
      </w:pPr>
      <w:r>
        <w:t>Quarterly: Full precision-recall recalibration using 60-day decision sample</w:t>
      </w:r>
    </w:p>
    <w:p>
      <w:pPr>
        <w:pStyle w:val="Heading2"/>
      </w:pPr>
      <w:r>
        <w:t>6.2 Common Match Quality Issues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Issue</w:t>
            </w:r>
          </w:p>
        </w:tc>
        <w:tc>
          <w:tcPr>
            <w:tcW w:type="dxa" w:w="3120"/>
            <w:shd w:fill="0C548A" w:val="clear"/>
          </w:tcPr>
          <w:p>
            <w:r>
              <w:rPr>
                <w:b/>
                <w:color w:val="FFFFFF"/>
                <w:sz w:val="20"/>
              </w:rPr>
              <w:t>Symptoms</w:t>
            </w:r>
          </w:p>
        </w:tc>
        <w:tc>
          <w:tcPr>
            <w:tcW w:type="dxa" w:w="3120"/>
            <w:shd w:fill="0C548A" w:val="clear"/>
          </w:tcPr>
          <w:p>
            <w:r>
              <w:rPr>
                <w:b/>
                <w:color w:val="FFFFFF"/>
                <w:sz w:val="20"/>
              </w:rPr>
              <w:t>Resolution</w:t>
            </w:r>
          </w:p>
        </w:tc>
      </w:tr>
      <w:tr>
        <w:tc>
          <w:tcPr>
            <w:tcW w:type="dxa" w:w="3120"/>
          </w:tcPr>
          <w:p>
            <w:r>
              <w:rPr>
                <w:sz w:val="20"/>
              </w:rPr>
              <w:t>High false merge rate</w:t>
            </w:r>
          </w:p>
        </w:tc>
        <w:tc>
          <w:tcPr>
            <w:tcW w:type="dxa" w:w="3120"/>
          </w:tcPr>
          <w:p>
            <w:r>
              <w:rPr>
                <w:sz w:val="20"/>
              </w:rPr>
              <w:t>Stewards frequently unmerging</w:t>
            </w:r>
          </w:p>
        </w:tc>
        <w:tc>
          <w:tcPr>
            <w:tcW w:type="dxa" w:w="3120"/>
          </w:tcPr>
          <w:p>
            <w:r>
              <w:rPr>
                <w:sz w:val="20"/>
              </w:rPr>
              <w:t>Raise merge threshold, add disqualifying rules</w:t>
            </w:r>
          </w:p>
        </w:tc>
      </w:tr>
      <w:tr>
        <w:tc>
          <w:tcPr>
            <w:tcW w:type="dxa" w:w="3120"/>
            <w:shd w:fill="F4F6FA" w:val="clear"/>
          </w:tcPr>
          <w:p>
            <w:r>
              <w:rPr>
                <w:sz w:val="20"/>
              </w:rPr>
              <w:t>Same entity in multiple records</w:t>
            </w:r>
          </w:p>
        </w:tc>
        <w:tc>
          <w:tcPr>
            <w:tcW w:type="dxa" w:w="3120"/>
            <w:shd w:fill="F4F6FA" w:val="clear"/>
          </w:tcPr>
          <w:p>
            <w:r>
              <w:rPr>
                <w:sz w:val="20"/>
              </w:rPr>
              <w:t>Stewards merging same pair repeatedly</w:t>
            </w:r>
          </w:p>
        </w:tc>
        <w:tc>
          <w:tcPr>
            <w:tcW w:type="dxa" w:w="3120"/>
            <w:shd w:fill="F4F6FA" w:val="clear"/>
          </w:tcPr>
          <w:p>
            <w:r>
              <w:rPr>
                <w:sz w:val="20"/>
              </w:rPr>
              <w:t>Lower review threshold, add new matching attributes</w:t>
            </w:r>
          </w:p>
        </w:tc>
      </w:tr>
      <w:tr>
        <w:tc>
          <w:tcPr>
            <w:tcW w:type="dxa" w:w="3120"/>
          </w:tcPr>
          <w:p>
            <w:r>
              <w:rPr>
                <w:sz w:val="20"/>
              </w:rPr>
              <w:t>Family members merged</w:t>
            </w:r>
          </w:p>
        </w:tc>
        <w:tc>
          <w:tcPr>
            <w:tcW w:type="dxa" w:w="3120"/>
          </w:tcPr>
          <w:p>
            <w:r>
              <w:rPr>
                <w:sz w:val="20"/>
              </w:rPr>
              <w:t>Address match without name differentiation</w:t>
            </w:r>
          </w:p>
        </w:tc>
        <w:tc>
          <w:tcPr>
            <w:tcW w:type="dxa" w:w="3120"/>
          </w:tcPr>
          <w:p>
            <w:r>
              <w:rPr>
                <w:sz w:val="20"/>
              </w:rPr>
              <w:t>Add name match as required condition with high weight</w:t>
            </w:r>
          </w:p>
        </w:tc>
      </w:tr>
      <w:tr>
        <w:tc>
          <w:tcPr>
            <w:tcW w:type="dxa" w:w="3120"/>
            <w:shd w:fill="F4F6FA" w:val="clear"/>
          </w:tcPr>
          <w:p>
            <w:r>
              <w:rPr>
                <w:sz w:val="20"/>
              </w:rPr>
              <w:t>Org vs. individual merged</w:t>
            </w:r>
          </w:p>
        </w:tc>
        <w:tc>
          <w:tcPr>
            <w:tcW w:type="dxa" w:w="3120"/>
            <w:shd w:fill="F4F6FA" w:val="clear"/>
          </w:tcPr>
          <w:p>
            <w:r>
              <w:rPr>
                <w:sz w:val="20"/>
              </w:rPr>
              <w:t>Company name matching individual name</w:t>
            </w:r>
          </w:p>
        </w:tc>
        <w:tc>
          <w:tcPr>
            <w:tcW w:type="dxa" w:w="3120"/>
            <w:shd w:fill="F4F6FA" w:val="clear"/>
          </w:tcPr>
          <w:p>
            <w:r>
              <w:rPr>
                <w:sz w:val="20"/>
              </w:rPr>
              <w:t>Add entity type exclusion rule</w:t>
            </w:r>
          </w:p>
        </w:tc>
      </w:tr>
    </w:tbl>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MM-002: Survivorship Strategies</w:t>
            </w:r>
          </w:p>
        </w:tc>
        <w:tc>
          <w:tcPr>
            <w:tcW w:type="dxa" w:w="4680"/>
          </w:tcPr>
          <w:p>
            <w:r>
              <w:rPr>
                <w:sz w:val="20"/>
              </w:rPr>
              <w:t>Reltio Asset Library</w:t>
            </w:r>
          </w:p>
        </w:tc>
      </w:tr>
      <w:tr>
        <w:tc>
          <w:tcPr>
            <w:tcW w:type="dxa" w:w="4680"/>
            <w:shd w:fill="F4F6FA" w:val="clear"/>
          </w:tcPr>
          <w:p>
            <w:r>
              <w:rPr>
                <w:sz w:val="20"/>
              </w:rPr>
              <w:t>MM-003: Merge Workflow Automation</w:t>
            </w:r>
          </w:p>
        </w:tc>
        <w:tc>
          <w:tcPr>
            <w:tcW w:type="dxa" w:w="4680"/>
            <w:shd w:fill="F4F6FA" w:val="clear"/>
          </w:tcPr>
          <w:p>
            <w:r>
              <w:rPr>
                <w:sz w:val="20"/>
              </w:rPr>
              <w:t>Reltio Asset Library</w:t>
            </w:r>
          </w:p>
        </w:tc>
      </w:tr>
      <w:tr>
        <w:tc>
          <w:tcPr>
            <w:tcW w:type="dxa" w:w="4680"/>
          </w:tcPr>
          <w:p>
            <w:r>
              <w:rPr>
                <w:sz w:val="20"/>
              </w:rPr>
              <w:t>ARCH-003: Data Model Design Patterns</w:t>
            </w:r>
          </w:p>
        </w:tc>
        <w:tc>
          <w:tcPr>
            <w:tcW w:type="dxa" w:w="4680"/>
          </w:tcPr>
          <w:p>
            <w:r>
              <w:rPr>
                <w:sz w:val="20"/>
              </w:rPr>
              <w:t>Reltio Asset Library</w:t>
            </w:r>
          </w:p>
        </w:tc>
      </w:tr>
      <w:tr>
        <w:tc>
          <w:tcPr>
            <w:tcW w:type="dxa" w:w="4680"/>
            <w:shd w:fill="F4F6FA" w:val="clear"/>
          </w:tcPr>
          <w:p>
            <w:r>
              <w:rPr>
                <w:sz w:val="20"/>
              </w:rPr>
              <w:t>DQ-001: Data Quality Rules Engine</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